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B2B2B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B2B2B"/>
          <w:spacing w:val="0"/>
          <w:sz w:val="44"/>
          <w:szCs w:val="44"/>
        </w:rPr>
        <w:t>在校大学生假期到勉县机关见习报名表</w:t>
      </w:r>
    </w:p>
    <w:tbl>
      <w:tblPr>
        <w:tblStyle w:val="4"/>
        <w:tblW w:w="9210" w:type="dxa"/>
        <w:tblCellSpacing w:w="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034"/>
        <w:gridCol w:w="1466"/>
        <w:gridCol w:w="1677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姓 名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性 别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223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籍 贯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民 族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政治面貌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健康状况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所在年级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所在班级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现任何职务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既往病史</w:t>
            </w:r>
          </w:p>
        </w:tc>
        <w:tc>
          <w:tcPr>
            <w:tcW w:w="39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通信地址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何时何地受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过何种处分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家庭联系人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及电话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有何特长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  <w:t>获奖情况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2B2B2B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0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备注：此表一式六份，县教体局、团县委、见习单位各保存一份。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6D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2017-01-05T09:59:29Z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