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720" w:right="0" w:hanging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招聘职位、专业及数量</w:t>
      </w:r>
    </w:p>
    <w:tbl>
      <w:tblPr>
        <w:tblW w:w="8235" w:type="dxa"/>
        <w:jc w:val="center"/>
        <w:tblCellSpacing w:w="0" w:type="dxa"/>
        <w:tblInd w:w="5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845"/>
        <w:gridCol w:w="1140"/>
        <w:gridCol w:w="39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ascii="仿宋_GB2312" w:eastAsia="仿宋_GB2312" w:cs="仿宋_GB2312"/>
                <w:b/>
                <w:bdr w:val="none" w:color="auto" w:sz="0" w:space="0"/>
              </w:rPr>
              <w:t>用人科室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bdr w:val="none" w:color="auto" w:sz="0" w:space="0"/>
              </w:rPr>
              <w:t>需求人数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精神科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精神科医师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精神医学、精神病与精神卫生学专业，统招本科及以上学历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B超室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超声医师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医学影像学专业，统招本科及以上学历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内二科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临床医师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临床医学，统招本科及以上学历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功能科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心电图医师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内科学、全科医学专业，统招本科及以上学历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消毒供应室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卫生员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护理专业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6A47"/>
    <w:rsid w:val="591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2018-07-10T07:51:00Z</dcterms:created>
  <dc:creator>向青釉</dc:creator>
  <cp:lastModifiedBy>向青釉</cp:lastModifiedBy>
  <dcterms:modified xsi:type="dcterms:W3CDTF">2018-07-10T08:17:55Z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