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2145"/>
        <w:gridCol w:w="631"/>
        <w:gridCol w:w="4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陕西省人民医院2018年硕士编制外合同制岗位需求计划表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序号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科室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数量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招聘专业及要求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呼吸内一科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呼吸内科专业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急诊内科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神经内二科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神经病学专业（介入方向，男性)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心血管内二科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七年制心血管内科专业（介入方向，男性)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儿科学/内科学专业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新生儿科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儿科学/新生儿专业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儿保科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营养科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营养与食品卫生学专业，本科为预防医学或临床医学专业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西院一病区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重症医学专业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放射科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影像医学与核医学/临床医学专业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CT室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影像医学与核医学/临床医学专业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MR室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影像医学与核医学/临床医学专业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B超室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影像医学与核医学（超声方向）/临床医学专业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病理科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病理诊断学/临床医学专业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放免中心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免疫学专业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检验科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医学检验技术专业，本科要求医学检验专业,2018年应届毕业生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输血科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临床医学/医学检验专业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功能检查科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神经内科专业1、呼吸内科专业1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产科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妇产科学专业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心血管外科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重症医学专业1、影像医学与核医学（超声方向）专业1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泌尿外科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泌尿外科专业（男科方向）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眼科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肿瘤外科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肿瘤学专业（肿瘤外科方向）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口腔科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正畸专业1，牙体亚髓专业1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重症医学科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重症医学相关专业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麻醉科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药学部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病案室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病案管理学专业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财务处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会计学专业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护理部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护理学专业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信息处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4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4"/>
              </w:rPr>
              <w:t>2018年应届或往届未就业硕士，有资格证、规陪证，不含专升本，211、985院校优先考虑。</w:t>
            </w:r>
          </w:p>
        </w:tc>
      </w:tr>
    </w:tbl>
    <w:p>
      <w:pPr>
        <w:pStyle w:val="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B55EA"/>
    <w:rsid w:val="4C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2018-03-16T08:09:00Z</dcterms:created>
  <dc:creator>Administrator</dc:creator>
  <cp:lastModifiedBy>Administrator</cp:lastModifiedBy>
  <dcterms:modified xsi:type="dcterms:W3CDTF">2018-03-16T08:10:41Z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