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附件：1</w:t>
      </w:r>
    </w:p>
    <w:tbl>
      <w:tblPr>
        <w:tblStyle w:val="3"/>
        <w:tblpPr w:leftFromText="180" w:rightFromText="180" w:vertAnchor="text" w:horzAnchor="page" w:tblpX="1537" w:tblpY="654"/>
        <w:tblOverlap w:val="never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90"/>
        <w:gridCol w:w="438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29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招聘岗位及人数</w:t>
            </w:r>
          </w:p>
        </w:tc>
        <w:tc>
          <w:tcPr>
            <w:tcW w:w="43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专   业   要   求</w:t>
            </w:r>
          </w:p>
        </w:tc>
        <w:tc>
          <w:tcPr>
            <w:tcW w:w="1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学历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及年龄要求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6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经济学教研室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2名</w:t>
            </w:r>
          </w:p>
        </w:tc>
        <w:tc>
          <w:tcPr>
            <w:tcW w:w="438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理论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经济学、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经济学专业</w:t>
            </w:r>
          </w:p>
        </w:tc>
        <w:tc>
          <w:tcPr>
            <w:tcW w:w="1880" w:type="dxa"/>
            <w:vMerge w:val="restart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eastAsia="zh-CN"/>
              </w:rPr>
              <w:t>博士研究生，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</w:rPr>
              <w:t>年龄35周岁以下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</w:rPr>
              <w:t>全日制普通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研究生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</w:rPr>
              <w:t>，年龄3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  3、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副高（含副高）以上职称第一学历是全日制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auto"/>
                <w:lang w:val="en-US" w:eastAsia="zh-CN"/>
              </w:rPr>
              <w:t>本科及以上学历，年龄35周岁以下。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6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法学教研室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438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法学专业</w:t>
            </w: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6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马列基础理论教研室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3名</w:t>
            </w:r>
          </w:p>
        </w:tc>
        <w:tc>
          <w:tcPr>
            <w:tcW w:w="438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哲学、马克思主义理论、思想政治教育专业</w:t>
            </w: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中文历史科技教研室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438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中国语言文学、逻辑学、历史学专业</w:t>
            </w: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党史党建教研室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438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党史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党建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中共延安市委党校2017年度教师招聘计划</w:t>
      </w:r>
    </w:p>
    <w:p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备注：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对专业的审查以毕业证上记载的专业名称为准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261E35F8"/>
    <w:rsid w:val="312F5BEB"/>
    <w:rsid w:val="43241A9F"/>
    <w:rsid w:val="638A206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rsk</cp:lastModifiedBy>
  <dcterms:modified xsi:type="dcterms:W3CDTF">2017-12-19T02:38:58Z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